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A67" w:rsidRPr="00EE4C37" w:rsidRDefault="00B93A67" w:rsidP="00B93A67">
      <w:pPr>
        <w:spacing w:line="360" w:lineRule="auto"/>
        <w:jc w:val="both"/>
        <w:rPr>
          <w:i/>
        </w:rPr>
      </w:pPr>
      <w:r w:rsidRPr="00EE4C37">
        <w:rPr>
          <w:i/>
        </w:rPr>
        <w:t>Tabela 1 – Descrição das variáveis de interesse</w:t>
      </w:r>
    </w:p>
    <w:p w:rsidR="00B93A67" w:rsidRDefault="00B93A67" w:rsidP="00B93A67">
      <w:pPr>
        <w:spacing w:line="360" w:lineRule="auto"/>
        <w:ind w:firstLine="709"/>
        <w:jc w:val="both"/>
      </w:pPr>
    </w:p>
    <w:tbl>
      <w:tblPr>
        <w:tblStyle w:val="Tabelacomgrade"/>
        <w:tblW w:w="0" w:type="auto"/>
        <w:tblLook w:val="00A0"/>
      </w:tblPr>
      <w:tblGrid>
        <w:gridCol w:w="2159"/>
        <w:gridCol w:w="1242"/>
        <w:gridCol w:w="1326"/>
        <w:gridCol w:w="1708"/>
        <w:gridCol w:w="1215"/>
        <w:gridCol w:w="1070"/>
      </w:tblGrid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Variável</w:t>
            </w:r>
          </w:p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  <w:rPr>
                <w:bCs/>
              </w:rPr>
            </w:pPr>
            <w:r w:rsidRPr="00B75098">
              <w:rPr>
                <w:bCs/>
              </w:rPr>
              <w:t>Média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  <w:rPr>
                <w:bCs/>
              </w:rPr>
            </w:pPr>
            <w:r w:rsidRPr="00B75098">
              <w:rPr>
                <w:bCs/>
              </w:rPr>
              <w:t>Desvio Padrão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  <w:rPr>
                <w:bCs/>
              </w:rPr>
            </w:pPr>
            <w:r w:rsidRPr="00B75098">
              <w:rPr>
                <w:bCs/>
              </w:rPr>
              <w:t>Dados Normativos</w:t>
            </w: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  <w:rPr>
                <w:bCs/>
              </w:rPr>
            </w:pPr>
            <w:r w:rsidRPr="00B75098">
              <w:rPr>
                <w:bCs/>
              </w:rPr>
              <w:t>Mínima</w:t>
            </w: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  <w:rPr>
                <w:bCs/>
              </w:rPr>
            </w:pPr>
            <w:r w:rsidRPr="00B75098">
              <w:rPr>
                <w:bCs/>
              </w:rPr>
              <w:t>Máxima</w:t>
            </w: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Idade (anos)</w:t>
            </w:r>
          </w:p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33.33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10.78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</w:pPr>
            <w:r w:rsidRPr="00B75098">
              <w:t>--</w:t>
            </w: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Estudo (anos)</w:t>
            </w:r>
          </w:p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14.74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4.04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</w:pPr>
            <w:r w:rsidRPr="00B75098">
              <w:t>--</w:t>
            </w: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  <w:r w:rsidRPr="00B75098">
              <w:t>8,5</w:t>
            </w: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  <w:r w:rsidRPr="00B75098">
              <w:t>26,5</w:t>
            </w: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DIB-R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Afetividade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42.80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6.40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Cognição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40.47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5.45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Padrões de. Impulsividade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28.42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4.38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Relacionamento. Interpessoal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64.61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6.53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proofErr w:type="spellStart"/>
            <w:r w:rsidRPr="00B75098">
              <w:rPr>
                <w:bCs/>
              </w:rPr>
              <w:t>Score</w:t>
            </w:r>
            <w:proofErr w:type="spellEnd"/>
            <w:r w:rsidRPr="00B75098">
              <w:rPr>
                <w:bCs/>
              </w:rPr>
              <w:t xml:space="preserve"> (1-10)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9,00ª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8,50-9,50</w:t>
            </w:r>
            <w:r w:rsidRPr="00B75098">
              <w:rPr>
                <w:sz w:val="16"/>
                <w:szCs w:val="16"/>
              </w:rPr>
              <w:t>b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ind w:left="720"/>
              <w:rPr>
                <w:vertAlign w:val="superscript"/>
              </w:rPr>
            </w:pPr>
            <w:r w:rsidRPr="00B75098">
              <w:t>&gt;8</w:t>
            </w:r>
            <w:r w:rsidRPr="00B75098">
              <w:rPr>
                <w:vertAlign w:val="superscript"/>
              </w:rPr>
              <w:t>a</w:t>
            </w: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  <w:r w:rsidRPr="00B75098">
              <w:t>8,00</w:t>
            </w: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  <w:r w:rsidRPr="00B75098">
              <w:t>10,00</w:t>
            </w: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CTQ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Total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51,47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17,67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  <w:r w:rsidRPr="00B75098">
              <w:t>26,00</w:t>
            </w: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  <w:r w:rsidRPr="00B75098">
              <w:t>90,00</w:t>
            </w: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Abuso Emocional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13.61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5,74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  <w:rPr>
                <w:vertAlign w:val="superscript"/>
              </w:rPr>
            </w:pPr>
            <w:r w:rsidRPr="00B75098">
              <w:t>8.39</w:t>
            </w:r>
            <w:r w:rsidRPr="00B75098">
              <w:rPr>
                <w:vertAlign w:val="superscript"/>
              </w:rPr>
              <w:t>b</w:t>
            </w: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  <w:r w:rsidRPr="00B75098">
              <w:t>5,00</w:t>
            </w: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  <w:r w:rsidRPr="00B75098">
              <w:t>24,00</w:t>
            </w: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Abuso Sexual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6.00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3.52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  <w:rPr>
                <w:vertAlign w:val="superscript"/>
              </w:rPr>
            </w:pPr>
            <w:r w:rsidRPr="00B75098">
              <w:t>5.92</w:t>
            </w:r>
            <w:r w:rsidRPr="00B75098">
              <w:rPr>
                <w:vertAlign w:val="superscript"/>
              </w:rPr>
              <w:t>b</w:t>
            </w: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  <w:r w:rsidRPr="00B75098">
              <w:t>5,00</w:t>
            </w: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  <w:r w:rsidRPr="00B75098">
              <w:t>21,00</w:t>
            </w: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Abuso Físico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8,00ª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5,50-11,50b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  <w:rPr>
                <w:vertAlign w:val="superscript"/>
              </w:rPr>
            </w:pPr>
            <w:r w:rsidRPr="00B75098">
              <w:t>6.39</w:t>
            </w:r>
            <w:r w:rsidRPr="00B75098">
              <w:rPr>
                <w:vertAlign w:val="superscript"/>
              </w:rPr>
              <w:t>b</w:t>
            </w: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  <w:r w:rsidRPr="00B75098">
              <w:t>5,00</w:t>
            </w: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  <w:r w:rsidRPr="00B75098">
              <w:t>18,00</w:t>
            </w: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Negligência Emocional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17,00ª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8,00-18,00b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  <w:rPr>
                <w:vertAlign w:val="superscript"/>
              </w:rPr>
            </w:pPr>
            <w:r w:rsidRPr="00B75098">
              <w:t>9.22</w:t>
            </w:r>
            <w:r w:rsidRPr="00B75098">
              <w:rPr>
                <w:vertAlign w:val="superscript"/>
              </w:rPr>
              <w:t>b</w:t>
            </w: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  <w:r w:rsidRPr="00B75098">
              <w:t>5,00</w:t>
            </w: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  <w:r w:rsidRPr="00B75098">
              <w:t>22,00</w:t>
            </w: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Negligência Física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9,00ª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5,00-11,50b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  <w:rPr>
                <w:vertAlign w:val="superscript"/>
              </w:rPr>
            </w:pPr>
            <w:r w:rsidRPr="00B75098">
              <w:t>7.00</w:t>
            </w:r>
            <w:r w:rsidRPr="00B75098">
              <w:rPr>
                <w:vertAlign w:val="superscript"/>
              </w:rPr>
              <w:t>b</w:t>
            </w: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  <w:r w:rsidRPr="00B75098">
              <w:t>5,00</w:t>
            </w: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  <w:r w:rsidRPr="00B75098">
              <w:t>17,00</w:t>
            </w: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SPTSS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Fator 1 – Revivência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4.94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2.81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  <w:r w:rsidRPr="00B75098">
              <w:t>0,00</w:t>
            </w: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  <w:r w:rsidRPr="00B75098">
              <w:t>10,00</w:t>
            </w: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 xml:space="preserve">Fator 2 - </w:t>
            </w:r>
            <w:proofErr w:type="spellStart"/>
            <w:r w:rsidRPr="00B75098">
              <w:rPr>
                <w:bCs/>
              </w:rPr>
              <w:t>Evitação</w:t>
            </w:r>
            <w:proofErr w:type="spellEnd"/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4.72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3.07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  <w:r w:rsidRPr="00B75098">
              <w:t>0,14</w:t>
            </w: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  <w:r w:rsidRPr="00B75098">
              <w:t>10,00</w:t>
            </w: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Fator 3 - Excitabilidade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4.47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2.57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</w:pPr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  <w:r w:rsidRPr="00B75098">
              <w:t>0,00</w:t>
            </w: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  <w:r w:rsidRPr="00B75098">
              <w:t>9,60</w:t>
            </w:r>
          </w:p>
        </w:tc>
      </w:tr>
      <w:tr w:rsidR="00B93A67" w:rsidRPr="00B75098" w:rsidTr="00810A3F">
        <w:tc>
          <w:tcPr>
            <w:tcW w:w="2159" w:type="dxa"/>
          </w:tcPr>
          <w:p w:rsidR="00B93A67" w:rsidRPr="00B75098" w:rsidRDefault="00B93A67" w:rsidP="00810A3F">
            <w:pPr>
              <w:jc w:val="center"/>
              <w:rPr>
                <w:b/>
                <w:bCs/>
              </w:rPr>
            </w:pPr>
            <w:r w:rsidRPr="00B75098">
              <w:rPr>
                <w:bCs/>
              </w:rPr>
              <w:t>Total</w:t>
            </w:r>
          </w:p>
        </w:tc>
        <w:tc>
          <w:tcPr>
            <w:tcW w:w="1242" w:type="dxa"/>
          </w:tcPr>
          <w:p w:rsidR="00B93A67" w:rsidRPr="00B75098" w:rsidRDefault="00B93A67" w:rsidP="00810A3F">
            <w:pPr>
              <w:jc w:val="center"/>
            </w:pPr>
            <w:r w:rsidRPr="00B75098">
              <w:t>4,71</w:t>
            </w:r>
          </w:p>
        </w:tc>
        <w:tc>
          <w:tcPr>
            <w:tcW w:w="1326" w:type="dxa"/>
          </w:tcPr>
          <w:p w:rsidR="00B93A67" w:rsidRPr="00B75098" w:rsidRDefault="00B93A67" w:rsidP="00810A3F">
            <w:pPr>
              <w:jc w:val="center"/>
            </w:pPr>
            <w:r w:rsidRPr="00B75098">
              <w:t>2,61</w:t>
            </w:r>
          </w:p>
        </w:tc>
        <w:tc>
          <w:tcPr>
            <w:tcW w:w="1708" w:type="dxa"/>
          </w:tcPr>
          <w:p w:rsidR="00B93A67" w:rsidRPr="00B75098" w:rsidRDefault="00B93A67" w:rsidP="00810A3F">
            <w:pPr>
              <w:jc w:val="center"/>
            </w:pPr>
            <w:r w:rsidRPr="00B75098">
              <w:t>≥</w:t>
            </w:r>
            <w:proofErr w:type="gramStart"/>
            <w:r w:rsidRPr="00B75098">
              <w:t>5</w:t>
            </w:r>
            <w:proofErr w:type="gramEnd"/>
          </w:p>
        </w:tc>
        <w:tc>
          <w:tcPr>
            <w:tcW w:w="1215" w:type="dxa"/>
          </w:tcPr>
          <w:p w:rsidR="00B93A67" w:rsidRPr="00B75098" w:rsidRDefault="00B93A67" w:rsidP="00810A3F">
            <w:pPr>
              <w:jc w:val="center"/>
            </w:pPr>
            <w:r w:rsidRPr="00B75098">
              <w:t>0,06</w:t>
            </w:r>
          </w:p>
        </w:tc>
        <w:tc>
          <w:tcPr>
            <w:tcW w:w="1070" w:type="dxa"/>
          </w:tcPr>
          <w:p w:rsidR="00B93A67" w:rsidRPr="00B75098" w:rsidRDefault="00B93A67" w:rsidP="00810A3F">
            <w:pPr>
              <w:jc w:val="center"/>
            </w:pPr>
            <w:r w:rsidRPr="00B75098">
              <w:t>9,88</w:t>
            </w:r>
          </w:p>
        </w:tc>
      </w:tr>
    </w:tbl>
    <w:p w:rsidR="00B93A67" w:rsidRDefault="00B93A67" w:rsidP="00B93A67">
      <w:pPr>
        <w:spacing w:line="360" w:lineRule="auto"/>
        <w:rPr>
          <w:sz w:val="20"/>
          <w:szCs w:val="20"/>
        </w:rPr>
      </w:pPr>
      <w:r w:rsidRPr="00EE4C37">
        <w:rPr>
          <w:i/>
          <w:sz w:val="20"/>
          <w:szCs w:val="20"/>
        </w:rPr>
        <w:t>Nota:</w:t>
      </w:r>
      <w:r w:rsidRPr="00EE4C37">
        <w:rPr>
          <w:sz w:val="20"/>
          <w:szCs w:val="20"/>
        </w:rPr>
        <w:t xml:space="preserve"> Escores de tendência central e dispersão serão expressos como média e desvio padrão, a não ser em </w:t>
      </w:r>
      <w:r w:rsidRPr="00EE4C37">
        <w:rPr>
          <w:sz w:val="20"/>
          <w:szCs w:val="20"/>
          <w:vertAlign w:val="superscript"/>
        </w:rPr>
        <w:t xml:space="preserve">a </w:t>
      </w:r>
      <w:r w:rsidRPr="00EE4C37">
        <w:rPr>
          <w:sz w:val="20"/>
          <w:szCs w:val="20"/>
        </w:rPr>
        <w:t xml:space="preserve">= Mediana e </w:t>
      </w:r>
      <w:r w:rsidRPr="00EE4C37">
        <w:rPr>
          <w:sz w:val="20"/>
          <w:szCs w:val="20"/>
          <w:vertAlign w:val="superscript"/>
        </w:rPr>
        <w:t xml:space="preserve">b </w:t>
      </w:r>
      <w:r w:rsidRPr="00EE4C37">
        <w:rPr>
          <w:sz w:val="20"/>
          <w:szCs w:val="20"/>
        </w:rPr>
        <w:t>= intervalo interquartil</w:t>
      </w:r>
      <w:r>
        <w:rPr>
          <w:sz w:val="20"/>
          <w:szCs w:val="20"/>
        </w:rPr>
        <w:t>.</w:t>
      </w:r>
    </w:p>
    <w:p w:rsidR="00B93A67" w:rsidRDefault="00B93A67" w:rsidP="00B93A67">
      <w:pPr>
        <w:spacing w:after="200" w:line="276" w:lineRule="auto"/>
        <w:rPr>
          <w:sz w:val="20"/>
          <w:szCs w:val="20"/>
        </w:rPr>
      </w:pPr>
    </w:p>
    <w:p w:rsidR="003E78F3" w:rsidRDefault="003E78F3"/>
    <w:p w:rsidR="00B93A67" w:rsidRDefault="00B93A67"/>
    <w:p w:rsidR="00B93A67" w:rsidRDefault="00B93A67"/>
    <w:p w:rsidR="00B93A67" w:rsidRDefault="00B93A67"/>
    <w:p w:rsidR="00B93A67" w:rsidRDefault="00B93A67"/>
    <w:p w:rsidR="00B93A67" w:rsidRDefault="00B93A67"/>
    <w:p w:rsidR="00B93A67" w:rsidRDefault="00B93A67"/>
    <w:p w:rsidR="00B93A67" w:rsidRDefault="00B93A67"/>
    <w:p w:rsidR="00B93A67" w:rsidRDefault="00B93A67"/>
    <w:p w:rsidR="00B93A67" w:rsidRDefault="00B93A67"/>
    <w:p w:rsidR="00B93A67" w:rsidRPr="00B93A67" w:rsidRDefault="00B93A67" w:rsidP="00B93A67"/>
    <w:p w:rsidR="00B93A67" w:rsidRPr="00B93A67" w:rsidRDefault="00B93A67" w:rsidP="00B93A67"/>
    <w:p w:rsidR="00B93A67" w:rsidRPr="00B93A67" w:rsidRDefault="00B93A67" w:rsidP="00B93A67"/>
    <w:p w:rsidR="00B93A67" w:rsidRDefault="00B93A67" w:rsidP="00B93A67"/>
    <w:p w:rsidR="00B93A67" w:rsidRDefault="00B93A67" w:rsidP="00B93A67">
      <w:pPr>
        <w:jc w:val="center"/>
      </w:pPr>
    </w:p>
    <w:p w:rsidR="00B93A67" w:rsidRDefault="00B93A67" w:rsidP="00B93A67">
      <w:pPr>
        <w:jc w:val="center"/>
      </w:pPr>
    </w:p>
    <w:p w:rsidR="00B93A67" w:rsidRDefault="00B93A67" w:rsidP="00B93A67">
      <w:pPr>
        <w:jc w:val="center"/>
      </w:pPr>
    </w:p>
    <w:p w:rsidR="00B93A67" w:rsidRPr="005B0B04" w:rsidRDefault="00B93A67" w:rsidP="00B93A67">
      <w:pPr>
        <w:rPr>
          <w:rFonts w:ascii="'times new roman'" w:hAnsi="'times new roman'"/>
          <w:lang w:val="en-US"/>
        </w:rPr>
      </w:pPr>
    </w:p>
    <w:p w:rsidR="00B93A67" w:rsidRPr="005B0B04" w:rsidRDefault="00B93A67" w:rsidP="00B93A67">
      <w:pPr>
        <w:rPr>
          <w:lang w:val="en-US"/>
        </w:rPr>
      </w:pPr>
    </w:p>
    <w:p w:rsidR="00B93A67" w:rsidRPr="00B93A67" w:rsidRDefault="00B93A67" w:rsidP="00B93A67">
      <w:pPr>
        <w:jc w:val="center"/>
        <w:rPr>
          <w:rFonts w:ascii="Arabic Typesetting" w:hAnsi="Arabic Typesetting" w:cs="Arabic Typesetting"/>
        </w:rPr>
      </w:pPr>
    </w:p>
    <w:p w:rsidR="00B93A67" w:rsidRPr="00B93A67" w:rsidRDefault="00B93A67" w:rsidP="00B93A67">
      <w:pPr>
        <w:jc w:val="center"/>
      </w:pPr>
    </w:p>
    <w:sectPr w:rsidR="00B93A67" w:rsidRPr="00B93A67" w:rsidSect="003E78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'times new roman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B93A67"/>
    <w:rsid w:val="003E78F3"/>
    <w:rsid w:val="00427704"/>
    <w:rsid w:val="00863EC2"/>
    <w:rsid w:val="00B93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93A67"/>
    <w:pPr>
      <w:spacing w:after="0" w:line="240" w:lineRule="auto"/>
    </w:pPr>
    <w:rPr>
      <w:rFonts w:ascii="Calibri" w:eastAsia="Calibri" w:hAnsi="Calibri" w:cs="Times New Roman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157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ISADORA</dc:creator>
  <cp:lastModifiedBy>ISADORA</cp:lastModifiedBy>
  <cp:revision>2</cp:revision>
  <dcterms:created xsi:type="dcterms:W3CDTF">2012-04-26T15:38:00Z</dcterms:created>
  <dcterms:modified xsi:type="dcterms:W3CDTF">2012-04-26T15:38:00Z</dcterms:modified>
</cp:coreProperties>
</file>