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7F5" w:rsidRPr="00462D3F" w:rsidRDefault="005457D3" w:rsidP="00143BF6">
      <w:pPr>
        <w:pStyle w:val="Normal1"/>
        <w:spacing w:after="0"/>
        <w:jc w:val="center"/>
        <w:rPr>
          <w:b/>
        </w:rPr>
      </w:pPr>
      <w:r>
        <w:rPr>
          <w:b/>
        </w:rPr>
        <w:t>CONSCIENTIZAR PARA CONSTRUIR: CONSCIENTIZAÇÃO DA POPULAÇÃO BETINENSE ACERCA DAS NORMAS PARA A CONSTRUÇÃO NO MUNICÍPIO DE BETIM</w:t>
      </w:r>
    </w:p>
    <w:p w:rsidR="002C37F5" w:rsidRDefault="002C37F5" w:rsidP="00143BF6">
      <w:pPr>
        <w:pStyle w:val="Normal1"/>
        <w:spacing w:after="0"/>
        <w:jc w:val="center"/>
      </w:pPr>
    </w:p>
    <w:p w:rsidR="002C37F5" w:rsidRPr="008450BB" w:rsidRDefault="005457D3" w:rsidP="00143BF6">
      <w:pPr>
        <w:pStyle w:val="Normal1"/>
        <w:spacing w:after="0"/>
        <w:jc w:val="center"/>
        <w:rPr>
          <w:b/>
          <w:lang w:val="en-US"/>
        </w:rPr>
      </w:pPr>
      <w:r w:rsidRPr="008450BB">
        <w:rPr>
          <w:b/>
          <w:lang w:val="en-US"/>
        </w:rPr>
        <w:t>CONSCIOUSING TO BUILD:</w:t>
      </w:r>
      <w:r w:rsidR="002369E0">
        <w:rPr>
          <w:b/>
          <w:lang w:val="en-US"/>
        </w:rPr>
        <w:t xml:space="preserve"> </w:t>
      </w:r>
      <w:r w:rsidRPr="008450BB">
        <w:rPr>
          <w:b/>
          <w:lang w:val="en-US"/>
        </w:rPr>
        <w:t>CONSCIENTIZATION OF THE BETINENSE POPULATION ABOUT THE RULES FOR CONSTRUCTION IN THE MUNICIPALITY OF BETIM</w:t>
      </w:r>
    </w:p>
    <w:p w:rsidR="002C37F5" w:rsidRPr="008450BB" w:rsidRDefault="002C37F5">
      <w:pPr>
        <w:pStyle w:val="Normal1"/>
        <w:spacing w:after="0" w:line="240" w:lineRule="auto"/>
        <w:jc w:val="center"/>
        <w:rPr>
          <w:b/>
          <w:lang w:val="en-US"/>
        </w:rPr>
      </w:pPr>
    </w:p>
    <w:p w:rsidR="00FC0672" w:rsidRPr="00A27030" w:rsidRDefault="00A27030" w:rsidP="00A27030">
      <w:pPr>
        <w:spacing w:line="228" w:lineRule="auto"/>
        <w:ind w:left="260" w:right="20"/>
        <w:jc w:val="center"/>
        <w:rPr>
          <w:sz w:val="20"/>
          <w:szCs w:val="20"/>
        </w:rPr>
      </w:pPr>
      <w:r>
        <w:rPr>
          <w:sz w:val="23"/>
          <w:szCs w:val="23"/>
        </w:rPr>
        <w:t>ANA CAROLINA DE OLIVEIRA</w:t>
      </w:r>
      <w:r>
        <w:rPr>
          <w:sz w:val="27"/>
          <w:szCs w:val="27"/>
          <w:vertAlign w:val="superscript"/>
        </w:rPr>
        <w:t>1</w:t>
      </w:r>
      <w:r>
        <w:rPr>
          <w:sz w:val="23"/>
          <w:szCs w:val="23"/>
        </w:rPr>
        <w:t>; BÁRBARA AZEVEDO ESTRELA</w:t>
      </w:r>
      <w:r>
        <w:rPr>
          <w:sz w:val="27"/>
          <w:szCs w:val="27"/>
          <w:vertAlign w:val="superscript"/>
        </w:rPr>
        <w:t>1</w:t>
      </w:r>
      <w:r>
        <w:rPr>
          <w:sz w:val="23"/>
          <w:szCs w:val="23"/>
        </w:rPr>
        <w:t>; CHEUSLEY JAQUELINE G. DA SILVA</w:t>
      </w:r>
      <w:r>
        <w:rPr>
          <w:sz w:val="27"/>
          <w:szCs w:val="27"/>
          <w:vertAlign w:val="superscript"/>
        </w:rPr>
        <w:t>1</w:t>
      </w:r>
      <w:r>
        <w:rPr>
          <w:sz w:val="23"/>
          <w:szCs w:val="23"/>
        </w:rPr>
        <w:t>; GABRIELLA A. DE FARIAS COLETA</w:t>
      </w:r>
      <w:r>
        <w:rPr>
          <w:sz w:val="27"/>
          <w:szCs w:val="27"/>
          <w:vertAlign w:val="superscript"/>
        </w:rPr>
        <w:t>1</w:t>
      </w:r>
      <w:r>
        <w:rPr>
          <w:sz w:val="23"/>
          <w:szCs w:val="23"/>
        </w:rPr>
        <w:t>; LARISSA A.</w:t>
      </w:r>
      <w:r>
        <w:rPr>
          <w:sz w:val="20"/>
          <w:szCs w:val="20"/>
        </w:rPr>
        <w:t xml:space="preserve"> </w:t>
      </w:r>
      <w:r>
        <w:t>AUGUSTO CORRÊA</w:t>
      </w:r>
      <w:r>
        <w:rPr>
          <w:sz w:val="28"/>
          <w:szCs w:val="28"/>
          <w:vertAlign w:val="superscript"/>
        </w:rPr>
        <w:t>1</w:t>
      </w:r>
      <w:r>
        <w:t>; SAMUEL HENRIQUE DA SILVA</w:t>
      </w:r>
      <w:r>
        <w:rPr>
          <w:sz w:val="28"/>
          <w:szCs w:val="28"/>
          <w:vertAlign w:val="superscript"/>
        </w:rPr>
        <w:t>1</w:t>
      </w:r>
      <w:r>
        <w:t xml:space="preserve">; RODRIGO ALVES PINTO RUGGIO </w:t>
      </w:r>
      <w:r>
        <w:rPr>
          <w:sz w:val="28"/>
          <w:szCs w:val="28"/>
          <w:vertAlign w:val="superscript"/>
        </w:rPr>
        <w:t>2</w:t>
      </w:r>
    </w:p>
    <w:p w:rsidR="002C37F5" w:rsidRDefault="005457D3" w:rsidP="00462D3F">
      <w:pPr>
        <w:pStyle w:val="Normal1"/>
        <w:spacing w:after="0"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8450BB">
        <w:rPr>
          <w:sz w:val="16"/>
          <w:szCs w:val="16"/>
        </w:rPr>
        <w:t>Acadêmicos do C</w:t>
      </w:r>
      <w:r>
        <w:rPr>
          <w:sz w:val="16"/>
          <w:szCs w:val="16"/>
        </w:rPr>
        <w:t>urso de Direito da Pontifícia Universidade Católica de Minas Gerais</w:t>
      </w:r>
      <w:r w:rsidR="00143BF6">
        <w:rPr>
          <w:sz w:val="16"/>
          <w:szCs w:val="16"/>
        </w:rPr>
        <w:t xml:space="preserve">, </w:t>
      </w:r>
      <w:r w:rsidR="00143BF6" w:rsidRPr="00143BF6">
        <w:rPr>
          <w:i/>
          <w:iCs/>
          <w:sz w:val="16"/>
          <w:szCs w:val="16"/>
        </w:rPr>
        <w:t>campus</w:t>
      </w:r>
      <w:r w:rsidR="00143BF6">
        <w:rPr>
          <w:sz w:val="16"/>
          <w:szCs w:val="16"/>
        </w:rPr>
        <w:t xml:space="preserve"> Betim.</w:t>
      </w:r>
    </w:p>
    <w:p w:rsidR="002C37F5" w:rsidRDefault="005457D3" w:rsidP="00462D3F">
      <w:pPr>
        <w:pStyle w:val="Normal1"/>
        <w:spacing w:after="0"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Professor </w:t>
      </w:r>
      <w:r w:rsidR="00143BF6">
        <w:rPr>
          <w:sz w:val="16"/>
          <w:szCs w:val="16"/>
        </w:rPr>
        <w:t>da Faculdade Mineira de Direito da</w:t>
      </w:r>
      <w:r>
        <w:rPr>
          <w:sz w:val="16"/>
          <w:szCs w:val="16"/>
        </w:rPr>
        <w:t xml:space="preserve"> Pontifícia Universidade Católica de Minas Gerais</w:t>
      </w:r>
      <w:r w:rsidR="00143BF6">
        <w:rPr>
          <w:sz w:val="16"/>
          <w:szCs w:val="16"/>
        </w:rPr>
        <w:t xml:space="preserve">, </w:t>
      </w:r>
      <w:r w:rsidR="00143BF6" w:rsidRPr="00143BF6">
        <w:rPr>
          <w:i/>
          <w:iCs/>
          <w:sz w:val="16"/>
          <w:szCs w:val="16"/>
        </w:rPr>
        <w:t>campus</w:t>
      </w:r>
      <w:r w:rsidR="00143BF6">
        <w:rPr>
          <w:sz w:val="16"/>
          <w:szCs w:val="16"/>
        </w:rPr>
        <w:t xml:space="preserve"> Betim.</w:t>
      </w:r>
    </w:p>
    <w:p w:rsidR="00462D3F" w:rsidRDefault="00462D3F">
      <w:pPr>
        <w:pStyle w:val="Normal1"/>
        <w:spacing w:after="0"/>
        <w:jc w:val="left"/>
        <w:rPr>
          <w:b/>
        </w:rPr>
      </w:pPr>
    </w:p>
    <w:p w:rsidR="002C37F5" w:rsidRPr="00650187" w:rsidRDefault="005457D3">
      <w:pPr>
        <w:pStyle w:val="Normal1"/>
        <w:spacing w:after="0"/>
        <w:jc w:val="left"/>
        <w:rPr>
          <w:lang w:val="en-US"/>
        </w:rPr>
      </w:pPr>
      <w:r w:rsidRPr="00650187">
        <w:rPr>
          <w:b/>
        </w:rPr>
        <w:t>P</w:t>
      </w:r>
      <w:r w:rsidR="00462D3F">
        <w:rPr>
          <w:b/>
        </w:rPr>
        <w:t>alavras-chave</w:t>
      </w:r>
      <w:r w:rsidRPr="00650187">
        <w:rPr>
          <w:b/>
        </w:rPr>
        <w:t xml:space="preserve">: </w:t>
      </w:r>
      <w:r w:rsidRPr="00650187">
        <w:t xml:space="preserve">Extensão. Construção. Conscientização. </w:t>
      </w:r>
      <w:proofErr w:type="spellStart"/>
      <w:r w:rsidRPr="00650187">
        <w:rPr>
          <w:lang w:val="en-US"/>
        </w:rPr>
        <w:t>População</w:t>
      </w:r>
      <w:proofErr w:type="spellEnd"/>
      <w:r w:rsidRPr="00650187">
        <w:rPr>
          <w:lang w:val="en-US"/>
        </w:rPr>
        <w:t xml:space="preserve"> </w:t>
      </w:r>
      <w:proofErr w:type="spellStart"/>
      <w:r w:rsidRPr="00650187">
        <w:rPr>
          <w:lang w:val="en-US"/>
        </w:rPr>
        <w:t>betinense</w:t>
      </w:r>
      <w:proofErr w:type="spellEnd"/>
      <w:r w:rsidRPr="00650187">
        <w:rPr>
          <w:lang w:val="en-US"/>
        </w:rPr>
        <w:t xml:space="preserve">. </w:t>
      </w:r>
    </w:p>
    <w:p w:rsidR="002C37F5" w:rsidRPr="00462D3F" w:rsidRDefault="005457D3">
      <w:pPr>
        <w:pStyle w:val="Normal1"/>
        <w:spacing w:after="0"/>
        <w:jc w:val="left"/>
        <w:rPr>
          <w:b/>
          <w:lang w:val="en-US"/>
        </w:rPr>
      </w:pPr>
      <w:r w:rsidRPr="00650187">
        <w:rPr>
          <w:b/>
          <w:lang w:val="en-US"/>
        </w:rPr>
        <w:t>K</w:t>
      </w:r>
      <w:r w:rsidR="00462D3F">
        <w:rPr>
          <w:b/>
          <w:lang w:val="en-US"/>
        </w:rPr>
        <w:t>eywords</w:t>
      </w:r>
      <w:r w:rsidRPr="00650187">
        <w:rPr>
          <w:b/>
          <w:lang w:val="en-US"/>
        </w:rPr>
        <w:t>:</w:t>
      </w:r>
      <w:r w:rsidRPr="00650187">
        <w:rPr>
          <w:lang w:val="en-US"/>
        </w:rPr>
        <w:t xml:space="preserve"> Extension. </w:t>
      </w:r>
      <w:r w:rsidRPr="00462D3F">
        <w:rPr>
          <w:lang w:val="en-US"/>
        </w:rPr>
        <w:t xml:space="preserve">Construction. Awareness. </w:t>
      </w:r>
      <w:proofErr w:type="spellStart"/>
      <w:r w:rsidR="000F2295">
        <w:rPr>
          <w:lang w:val="en-US"/>
        </w:rPr>
        <w:t>Betim’s</w:t>
      </w:r>
      <w:proofErr w:type="spellEnd"/>
      <w:r w:rsidR="000F2295">
        <w:rPr>
          <w:lang w:val="en-US"/>
        </w:rPr>
        <w:t xml:space="preserve"> p</w:t>
      </w:r>
      <w:r w:rsidRPr="00462D3F">
        <w:rPr>
          <w:lang w:val="en-US"/>
        </w:rPr>
        <w:t>opulation.</w:t>
      </w:r>
    </w:p>
    <w:p w:rsidR="00462D3F" w:rsidRDefault="00462D3F">
      <w:pPr>
        <w:pStyle w:val="Normal1"/>
        <w:rPr>
          <w:b/>
        </w:rPr>
      </w:pPr>
    </w:p>
    <w:p w:rsidR="002C37F5" w:rsidRPr="002369E0" w:rsidRDefault="005457D3">
      <w:pPr>
        <w:pStyle w:val="Normal1"/>
      </w:pPr>
      <w:r w:rsidRPr="00650187">
        <w:rPr>
          <w:b/>
        </w:rPr>
        <w:t xml:space="preserve">INTRODUÇÃO: </w:t>
      </w:r>
      <w:r w:rsidRPr="00650187">
        <w:t>O presente trabalho tem como tema central a construção no espaço urbano e suas normas</w:t>
      </w:r>
      <w:r>
        <w:t>, com enfoque na regulamentação referente a cidade de Betim. Nomeado como “direito à cidade”, pelo sociólogo Henri Lefebvre, a construção urbana precisa de normas regulamentadoras para a correta utilização do espaço e a consequente minoração de possíveis danos ambientais (SANCHES, 2013). Em Betim, tais regulamentações são dadas pela lei municipal nº 5.116/11, a qual disciplina sobre construção e demolição no perímetro da cidade. De nada adianta, porém, uma norma que não é conhecida pela população, pois o desconhecimento leva ao descumprimento e ineficácia da norma. Este projeto se mostra de suma importância, portanto, devido a dois pontos centrais. O primeiro relacionado à própria segurança direta do proprietário do imóvel construído e seus familiares, amigos e conhecidos que habitem ou visitem o referido local. E por fim, sua relevância se mostra na promoção do direito à moradia, o qual garante ao indivíduo um mínimo de dignidade para si e sua família. Manter a população consciente das normas reguladoras em termos de construção e ciente de seus direitos e deveres sobre o assunto é, portanto, fundamental para a população betinense, visto que uma construção irregular afeta não apenas o proprietário, mas toda a cidade e o meio ambiente. Dito isto, é notório o objetivo ce</w:t>
      </w:r>
      <w:bookmarkStart w:id="0" w:name="_GoBack"/>
      <w:bookmarkEnd w:id="0"/>
      <w:r>
        <w:t xml:space="preserve">ntral deste trabalho: delinear o grau de conhecimento da norma, bem como a conscientização da população betinense sobre a norma reguladora de </w:t>
      </w:r>
      <w:r>
        <w:lastRenderedPageBreak/>
        <w:t>construções e demolições na cidade e, por consequência, a promoção da cidadania.</w:t>
      </w:r>
      <w:r w:rsidR="002369E0">
        <w:t xml:space="preserve"> </w:t>
      </w:r>
      <w:r>
        <w:rPr>
          <w:b/>
        </w:rPr>
        <w:t xml:space="preserve">MATERIAL E MÉTODOS: </w:t>
      </w:r>
      <w:r>
        <w:t>Após detida análise da norma jurídica objeto do trabalho, bem como feitas entrevistas com moradores de Betim, restou cristalina</w:t>
      </w:r>
      <w:r>
        <w:rPr>
          <w:b/>
        </w:rPr>
        <w:t xml:space="preserve"> </w:t>
      </w:r>
      <w:r>
        <w:t xml:space="preserve">a baixa eficácia da norma municipal, eis que não tem ampla divulgação e até então era de conhecimento de poucas pessoas, sendo que daí surge a necessidade de levar ao conhecimento da população as regras fixadas na legislação, de modo a propiciar seu devido cumprimento. Logo, por tratar-se de norma municipal, aplicável somente às obras realizadas dentro do Município de Betim, o público alvo do projeto é toda a população adulta betinense, já que qualquer indivíduo adulto estaria apto a realizar uma construção ou reforma de um imóvel. Como o objetivo do projeto foi a conscientização da população, a metodologia empregada valeu-se de duas ações. A primeira ação foi o uso do meio digital, na modalidade de uma conta na rede social </w:t>
      </w:r>
      <w:r>
        <w:rPr>
          <w:i/>
        </w:rPr>
        <w:t xml:space="preserve">Instagram </w:t>
      </w:r>
      <w:r>
        <w:t>com o nome Construção Consciente</w:t>
      </w:r>
      <w:r>
        <w:rPr>
          <w:i/>
        </w:rPr>
        <w:t xml:space="preserve">, </w:t>
      </w:r>
      <w:r>
        <w:t xml:space="preserve">em que foram realizadas postagens sobre o conteúdo da norma, disponibilizando-as para acesso livre da população; a conta foi divulgada pelos autores do presente trabalho em suas redes sociais pessoais. As postagens foram feitas visando levar informação à população de uma forma mais acessível, abordando tópicos da Lei nº 5116/11, informações sobre as providências a serem tomadas antes de se realizar uma obra no município, qual o  órgão competente para o licenciamento, sanções para descumprimento, bem como telefones de contato para maiores informações/requerimentos/denúncias, tudo isso de forma descontraída e com fácil linguagem. A segunda ação realizada foi a criação de uma cartilha, que continha as principais regras sobre construções e reformas, ou seja, obras em geral, determinadas pela legislação municipal, valendo-se de linguagem escrita e de imagem para repassar a mensagem. Tal cartilha foi distribuída, no município de Betim, nas regiões centrais e bairros, a fim de possibilitar que </w:t>
      </w:r>
      <w:proofErr w:type="gramStart"/>
      <w:r>
        <w:t>um maior número de pessoas pudessem</w:t>
      </w:r>
      <w:proofErr w:type="gramEnd"/>
      <w:r>
        <w:t xml:space="preserve"> tomar conhecimento da existência e regulamentação de uma lei que versa sobre a correta realização de uma obra. Paralelamente à entrega da cartilha, foi feito um breve levantamento de dados, qual seja, perguntas diretas para as pessoas que estavam recebendo-a, se sabiam da existência da norma, dos requisitos para uma obra legal e as sanções, recebendo, majoritariamente, respostas negativas, isto posto, houve esclarecimentos de dúvidas por parte dos integrantes do grupo para os maiores interessados.</w:t>
      </w:r>
      <w:r w:rsidR="002369E0">
        <w:t xml:space="preserve"> </w:t>
      </w:r>
      <w:r>
        <w:rPr>
          <w:b/>
        </w:rPr>
        <w:t xml:space="preserve">RESULTADOS E DISCUSSÃO: </w:t>
      </w:r>
      <w:r>
        <w:t>Com o intuito de apurar como era o relacionamento da população betinense com a norma municipal, foi realizada uma pesquisa de campo em que foram entrevistadas 70 (setenta) pessoas, no Juizado Especial (</w:t>
      </w:r>
      <w:proofErr w:type="spellStart"/>
      <w:r>
        <w:t>JEsp</w:t>
      </w:r>
      <w:proofErr w:type="spellEnd"/>
      <w:r>
        <w:t xml:space="preserve">) e no Procon (Programa de Proteção e Defesa do Consumidor) da cidade. Tais entrevistados responderam anonimamente e unicamente “sim” ou “não”, a um questionário com perguntas </w:t>
      </w:r>
      <w:r>
        <w:lastRenderedPageBreak/>
        <w:t xml:space="preserve">relacionadas à Lei 5.116/11. As respostas obtidas mostram que, dentre os entrevistados, 80% desconhecem a norma, 51,42% não fizeram ou não conhecem pessoas que tenham realizado alguma obra irregular e 48,58% afirmaram conhecer ou já terem realizado alguma obra sem a devida observância da lei municipal. Por meio de pesquisas diretamente feitas com cidadãos betinenses e a secretaria de obras do município, foi possível constatar a semelhança com os dados de uma pesquisa realizada pelo Instituto Data Folha e o Conselho de Arquitetura e Urbanismo do Brasil (CAU/BR), que revelou que mais de 80% dos brasileiros realizam obras civis sem o devido planejamento, desenvolvimento e construção por técnicos. Contudo, é preciso levar em conta que entre tais pessoas que não realizaram obras irregulares, podem estar inclusas pessoas que nunca construíram, moram em imóveis alugados ou já construídos anteriormente a permanência no mesmo. Após, foi questionado aos participantes que responderam ter ou conhecer alguém que tenha realizado alguma obra sem observância da lei, e, destes, apenas 14,70% foram investigados e seus proprietários foram punidos. Deste dado, pode-se inferir que tal irregularidade não é altamente punida pelos órgãos competentes, sendo que a maioria das pessoas que constroem irregularmente não são investigadas e punidas por isso. Por fim, indagados se, mesmo sem conhecer a norma, já realizaram alguma obra com a devida autorização da Prefeitura, apenas 20% dos entrevistados responderam que sim, o que pode estar associado à questão de pessoas que tiveram condições financeiras e discernimento para contratar alguém especializado para realizar uma construção, visto que não foi pelo seu próprio conhecimento da lei que fizeram a obra de forma regular. Outro dado coletado pelo projeto feito através de uma entrevista com o atual fiscal e responsável do Setor de Fiscalização das Obras Particulares da Prefeitura de Betim, o senhor </w:t>
      </w:r>
      <w:proofErr w:type="spellStart"/>
      <w:r>
        <w:t>Élio</w:t>
      </w:r>
      <w:proofErr w:type="spellEnd"/>
      <w:r>
        <w:t xml:space="preserve"> Alves dos Santos, que este é o único fiscal do município. Informou que o setor funciona de maneira indireta, por meio de denúncia e acredita que o meio mais eficaz para a aplicação da norma é por meio da punição e não pela prevenção. Com tudo explanado é possível perceber que o projeto de extensão desenvolvido pensando na melhoria da eficácia da norma nº 5116/11 é de grande relevância. Não há como se falar em aplicabilidade de uma norma que a população sequer tem conhecimento. E aqui percebe-se a importância e a relevância do objetivo deste trabalho que irá auxiliar o agente público a cumprir de fato a norma abordada já que será realizado não só um trabalho de “dizer que a norma existe”, mas apontar alternativas para o seu cumprimento sem um custo muito alto, aproximar as pessoas de profissionais da área de construção, além de alertar a população sobre os prejuízos que se pode ter com a inobservância da norma. </w:t>
      </w:r>
      <w:r w:rsidR="002369E0">
        <w:t xml:space="preserve"> </w:t>
      </w:r>
      <w:r>
        <w:rPr>
          <w:b/>
        </w:rPr>
        <w:t xml:space="preserve">CONCLUSÕES: </w:t>
      </w:r>
      <w:r>
        <w:t xml:space="preserve">Tendo em vista que a norma em questão tem o escopo de delinear os aspectos </w:t>
      </w:r>
      <w:r>
        <w:lastRenderedPageBreak/>
        <w:t>referentes às obras realizadas no Município de Betim, e que isto é uma explanação do Direito à Cidade como mencionado acima, nós observamos a necessidade de uma divulgação mais eficaz da mesma. Pois, ao fazer minuciosa análise das pesquisas, concluímos que a norma apresenta carência quanto à sua divulgação pelos meios adequados e, consequentemente, ocasiona o desconhecimento por parte de seus destinatários. Não há que se falar em cumprimento ou não da Lei 5.116, sem o conhecimento prévio desta. Assim, percebemos que um dos problemas que envolvem a baixa eficácia da lei é seu desconhecimento e, ainda, o baixo índice de punibilidade de quem infringe a mesma. Por todo o exposto, visando contribuir para sua divulgação e consequente aplicação, buscamos alternativas para que a população de Betim saiba seus direitos e deveres quando realizar uma obra, alertando sobre os prejuízos advindos de sua inobservância. Com isto, consideramos que o objetivo deste trabalho foi atingido com sucesso, qual seja, auferir o grau da aplicabilidade da norma e, especialmente, o de divulgar ao público alvo a existência da lei e a importância em respeitá-la.</w:t>
      </w:r>
    </w:p>
    <w:p w:rsidR="002369E0" w:rsidRDefault="005457D3">
      <w:pPr>
        <w:pStyle w:val="Normal1"/>
        <w:rPr>
          <w:b/>
        </w:rPr>
      </w:pPr>
      <w:r>
        <w:rPr>
          <w:b/>
        </w:rPr>
        <w:t>REFERÊNCIAS</w:t>
      </w:r>
    </w:p>
    <w:p w:rsidR="002369E0" w:rsidRDefault="002369E0" w:rsidP="00727F18">
      <w:pPr>
        <w:pStyle w:val="Normal1"/>
        <w:spacing w:after="0" w:line="240" w:lineRule="auto"/>
      </w:pPr>
      <w:r>
        <w:t xml:space="preserve">ASSESSORIA DE PLANEJAMENTO TERRITORIAL DA AMAVI PROGRAMA REGIONAL NÓS TEMOS PLANO DIRETOR. </w:t>
      </w:r>
      <w:r>
        <w:rPr>
          <w:b/>
        </w:rPr>
        <w:t>Manual de fiscalização de obras e posturas municipais.</w:t>
      </w:r>
      <w:r>
        <w:t xml:space="preserve"> , 2012. Disponível em: &lt;http://https://www.amavi.org.br/sistemas/pagina/setores/lanejamentoterritor </w:t>
      </w:r>
      <w:proofErr w:type="spellStart"/>
      <w:r>
        <w:t>ial</w:t>
      </w:r>
      <w:proofErr w:type="spellEnd"/>
      <w:r>
        <w:t>/arquivos/modelos/Manual_de_Fiscalizacao_de_Obras.pdf&gt;. Acesso em: 25 de outubro de 2017.</w:t>
      </w:r>
    </w:p>
    <w:p w:rsidR="002369E0" w:rsidRDefault="002369E0" w:rsidP="00727F18">
      <w:pPr>
        <w:pStyle w:val="Normal1"/>
        <w:spacing w:after="0" w:line="240" w:lineRule="auto"/>
      </w:pPr>
    </w:p>
    <w:p w:rsidR="002369E0" w:rsidRDefault="002369E0" w:rsidP="00727F18">
      <w:pPr>
        <w:pStyle w:val="Normal1"/>
        <w:spacing w:after="0" w:line="240" w:lineRule="auto"/>
      </w:pPr>
      <w:r>
        <w:t xml:space="preserve">BETIM. </w:t>
      </w:r>
      <w:r>
        <w:rPr>
          <w:b/>
        </w:rPr>
        <w:t>Lei municipal nº 5116 – código de obras e edificações</w:t>
      </w:r>
      <w:r>
        <w:t xml:space="preserve">. Datado de 21 de março de 2011. Disponível em: www.dpurb.betim.mg.gov.br/site/wp-content/plugins/ </w:t>
      </w:r>
      <w:proofErr w:type="gramStart"/>
      <w:r>
        <w:t>download.../</w:t>
      </w:r>
      <w:proofErr w:type="spellStart"/>
      <w:r>
        <w:t>download.php?id</w:t>
      </w:r>
      <w:proofErr w:type="spellEnd"/>
      <w:r>
        <w:t>.</w:t>
      </w:r>
      <w:proofErr w:type="gramEnd"/>
      <w:r>
        <w:t xml:space="preserve"> Acesso em: 28 de outubro de 2017. </w:t>
      </w:r>
    </w:p>
    <w:p w:rsidR="002369E0" w:rsidRDefault="002369E0" w:rsidP="00727F18">
      <w:pPr>
        <w:pStyle w:val="Normal1"/>
        <w:spacing w:after="0" w:line="240" w:lineRule="auto"/>
      </w:pPr>
    </w:p>
    <w:p w:rsidR="002369E0" w:rsidRDefault="002369E0" w:rsidP="00727F18">
      <w:pPr>
        <w:pStyle w:val="Normal1"/>
        <w:spacing w:after="0" w:line="240" w:lineRule="auto"/>
      </w:pPr>
      <w:r>
        <w:t xml:space="preserve">SANCHES, Jussara Romero. O direito à cidade. Revista do Direito Público, Londrina, v. 12, n. 1, p.318-321, abr. 2017. DOI: 10.5433/24122-107817-1X.2017v17n1p318. ISSN: 1980-511X. BOBSIN, Simone. </w:t>
      </w:r>
      <w:r>
        <w:rPr>
          <w:b/>
        </w:rPr>
        <w:t>Pesquisa revela que mais de 80% dos brasileiros fazem obra sem arquiteto ou engenheiro.</w:t>
      </w:r>
      <w:r>
        <w:t xml:space="preserve"> Missão Casa, 13 de outubro de 2013. Disponível em: &lt;http://wp.c licrbs.com.br/ missaocasa/2015/10/13/pesquisa-revela-que-mais-de-80-dos-brasileiros-fazem-obra-sem-arquiteto-ou-engenheiro/?topo=67&gt;. Acesso em: 11 de novembro de 2017. </w:t>
      </w:r>
    </w:p>
    <w:sectPr w:rsidR="002369E0" w:rsidSect="00110EBB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700" w:right="1133" w:bottom="1133" w:left="1700" w:header="720" w:footer="720" w:gutter="0"/>
      <w:pgNumType w:start="14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06C" w:rsidRDefault="0030306C" w:rsidP="002C37F5">
      <w:pPr>
        <w:spacing w:after="0" w:line="240" w:lineRule="auto"/>
      </w:pPr>
      <w:r>
        <w:separator/>
      </w:r>
    </w:p>
  </w:endnote>
  <w:endnote w:type="continuationSeparator" w:id="0">
    <w:p w:rsidR="0030306C" w:rsidRDefault="0030306C" w:rsidP="002C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Italic">
    <w:altName w:val="Arial Narrow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424201"/>
      <w:docPartObj>
        <w:docPartGallery w:val="Page Numbers (Bottom of Page)"/>
        <w:docPartUnique/>
      </w:docPartObj>
    </w:sdtPr>
    <w:sdtContent>
      <w:p w:rsidR="00110EBB" w:rsidRDefault="00110EBB" w:rsidP="00110EBB">
        <w:pPr>
          <w:pStyle w:val="NormalWeb"/>
        </w:pPr>
        <w:r>
          <w:rPr>
            <w:rFonts w:ascii="Arial Narrow,Italic" w:hAnsi="Arial Narrow,Italic"/>
            <w:color w:val="0000FF"/>
            <w:sz w:val="20"/>
            <w:szCs w:val="20"/>
          </w:rPr>
          <w:t xml:space="preserve">http://periodicos.pucminas.br/index.php/sinapsemultipla </w:t>
        </w:r>
        <w:r>
          <w:tab/>
        </w:r>
        <w:r>
          <w:tab/>
        </w:r>
        <w:r>
          <w:tab/>
        </w:r>
        <w:r>
          <w:rPr>
            <w:rFonts w:ascii="Arial Narrow,Italic" w:hAnsi="Arial Narrow,Italic"/>
            <w:sz w:val="20"/>
            <w:szCs w:val="20"/>
          </w:rPr>
          <w:t xml:space="preserve">Sinapse </w:t>
        </w:r>
        <w:proofErr w:type="spellStart"/>
        <w:r>
          <w:rPr>
            <w:rFonts w:ascii="Arial Narrow,Italic" w:hAnsi="Arial Narrow,Italic"/>
            <w:sz w:val="20"/>
            <w:szCs w:val="20"/>
          </w:rPr>
          <w:t>Múltipla</w:t>
        </w:r>
        <w:proofErr w:type="spellEnd"/>
        <w:r>
          <w:rPr>
            <w:rFonts w:ascii="Arial Narrow,Italic" w:hAnsi="Arial Narrow,Italic"/>
            <w:sz w:val="20"/>
            <w:szCs w:val="20"/>
          </w:rPr>
          <w:t>, 8(2), dez.,1</w:t>
        </w:r>
        <w:r>
          <w:rPr>
            <w:rFonts w:ascii="Arial Narrow,Italic" w:hAnsi="Arial Narrow,Italic"/>
            <w:sz w:val="20"/>
            <w:szCs w:val="20"/>
          </w:rPr>
          <w:t>44</w:t>
        </w:r>
        <w:r>
          <w:rPr>
            <w:rFonts w:ascii="Arial Narrow,Italic" w:hAnsi="Arial Narrow,Italic"/>
            <w:sz w:val="20"/>
            <w:szCs w:val="20"/>
          </w:rPr>
          <w:t>-1</w:t>
        </w:r>
        <w:r>
          <w:rPr>
            <w:rFonts w:ascii="Arial Narrow,Italic" w:hAnsi="Arial Narrow,Italic"/>
            <w:sz w:val="20"/>
            <w:szCs w:val="20"/>
          </w:rPr>
          <w:t>47</w:t>
        </w:r>
        <w:r>
          <w:rPr>
            <w:rFonts w:ascii="Arial Narrow,Italic" w:hAnsi="Arial Narrow,Italic"/>
            <w:sz w:val="20"/>
            <w:szCs w:val="20"/>
          </w:rPr>
          <w:t>, 2019.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95" w:rsidRPr="000F2295" w:rsidRDefault="000F2295" w:rsidP="000F2295">
    <w:pPr>
      <w:pStyle w:val="NormalWeb"/>
    </w:pPr>
    <w:r>
      <w:rPr>
        <w:rFonts w:ascii="Arial Narrow,Italic" w:hAnsi="Arial Narrow,Italic"/>
        <w:color w:val="0000FF"/>
        <w:sz w:val="20"/>
        <w:szCs w:val="20"/>
      </w:rPr>
      <w:t xml:space="preserve">http://periodicos.pucminas.br/index.php/sinapsemultipla </w:t>
    </w:r>
    <w:r>
      <w:tab/>
    </w:r>
    <w:r>
      <w:tab/>
    </w:r>
    <w:r>
      <w:tab/>
    </w:r>
    <w:r>
      <w:rPr>
        <w:rFonts w:ascii="Arial Narrow,Italic" w:hAnsi="Arial Narrow,Italic"/>
        <w:sz w:val="20"/>
        <w:szCs w:val="20"/>
      </w:rPr>
      <w:t>Sinapse Múltipla, 8(2), dez.,144-147,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06C" w:rsidRDefault="0030306C" w:rsidP="002C37F5">
      <w:pPr>
        <w:spacing w:after="0" w:line="240" w:lineRule="auto"/>
      </w:pPr>
      <w:r>
        <w:separator/>
      </w:r>
    </w:p>
  </w:footnote>
  <w:footnote w:type="continuationSeparator" w:id="0">
    <w:p w:rsidR="0030306C" w:rsidRDefault="0030306C" w:rsidP="002C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516995666"/>
      <w:docPartObj>
        <w:docPartGallery w:val="Page Numbers (Top of Page)"/>
        <w:docPartUnique/>
      </w:docPartObj>
    </w:sdtPr>
    <w:sdtContent>
      <w:p w:rsidR="00110EBB" w:rsidRDefault="00110EBB" w:rsidP="0014460B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0F2295" w:rsidRDefault="000F2295" w:rsidP="00110EB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20"/>
        <w:szCs w:val="20"/>
      </w:rPr>
      <w:id w:val="235053774"/>
      <w:docPartObj>
        <w:docPartGallery w:val="Page Numbers (Top of Page)"/>
        <w:docPartUnique/>
      </w:docPartObj>
    </w:sdtPr>
    <w:sdtContent>
      <w:p w:rsidR="00110EBB" w:rsidRPr="00110EBB" w:rsidRDefault="00110EBB" w:rsidP="0014460B">
        <w:pPr>
          <w:pStyle w:val="Cabealho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110EBB">
          <w:rPr>
            <w:rStyle w:val="Nmerodepgina"/>
            <w:sz w:val="20"/>
            <w:szCs w:val="20"/>
          </w:rPr>
          <w:fldChar w:fldCharType="begin"/>
        </w:r>
        <w:r w:rsidRPr="00110EBB">
          <w:rPr>
            <w:rStyle w:val="Nmerodepgina"/>
            <w:sz w:val="20"/>
            <w:szCs w:val="20"/>
          </w:rPr>
          <w:instrText xml:space="preserve"> PAGE </w:instrText>
        </w:r>
        <w:r w:rsidRPr="00110EBB">
          <w:rPr>
            <w:rStyle w:val="Nmerodepgina"/>
            <w:sz w:val="20"/>
            <w:szCs w:val="20"/>
          </w:rPr>
          <w:fldChar w:fldCharType="separate"/>
        </w:r>
        <w:r w:rsidRPr="00110EBB">
          <w:rPr>
            <w:rStyle w:val="Nmerodepgina"/>
            <w:noProof/>
            <w:sz w:val="20"/>
            <w:szCs w:val="20"/>
          </w:rPr>
          <w:t>144</w:t>
        </w:r>
        <w:r w:rsidRPr="00110EBB">
          <w:rPr>
            <w:rStyle w:val="Nmerodepgina"/>
            <w:sz w:val="20"/>
            <w:szCs w:val="20"/>
          </w:rPr>
          <w:fldChar w:fldCharType="end"/>
        </w:r>
      </w:p>
    </w:sdtContent>
  </w:sdt>
  <w:p w:rsidR="002C37F5" w:rsidRPr="00110EBB" w:rsidRDefault="00110EBB" w:rsidP="00110EBB">
    <w:pPr>
      <w:pStyle w:val="Normal1"/>
      <w:pBdr>
        <w:bottom w:val="single" w:sz="12" w:space="1" w:color="auto"/>
      </w:pBdr>
      <w:spacing w:line="240" w:lineRule="auto"/>
      <w:ind w:right="360"/>
      <w:rPr>
        <w:lang w:val="en-US"/>
      </w:rPr>
    </w:pPr>
    <w:r>
      <w:rPr>
        <w:lang w:val="en-US"/>
      </w:rPr>
      <w:t xml:space="preserve">Oliveira </w:t>
    </w:r>
    <w:r w:rsidRPr="000F2295">
      <w:rPr>
        <w:i/>
        <w:iCs/>
        <w:lang w:val="en-US"/>
      </w:rPr>
      <w:t>et al</w:t>
    </w:r>
    <w:r>
      <w:rPr>
        <w:i/>
        <w:iCs/>
        <w:lang w:val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20"/>
        <w:szCs w:val="20"/>
      </w:rPr>
      <w:id w:val="-25960337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0F2295" w:rsidRPr="000F2295" w:rsidRDefault="000F2295" w:rsidP="0014460B">
        <w:pPr>
          <w:pStyle w:val="Cabealho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0F2295">
          <w:rPr>
            <w:rStyle w:val="Nmerodepgina"/>
            <w:sz w:val="20"/>
            <w:szCs w:val="20"/>
          </w:rPr>
          <w:fldChar w:fldCharType="begin"/>
        </w:r>
        <w:r w:rsidRPr="000F2295">
          <w:rPr>
            <w:rStyle w:val="Nmerodepgina"/>
            <w:sz w:val="20"/>
            <w:szCs w:val="20"/>
          </w:rPr>
          <w:instrText xml:space="preserve"> PAGE </w:instrText>
        </w:r>
        <w:r w:rsidRPr="000F2295">
          <w:rPr>
            <w:rStyle w:val="Nmerodepgina"/>
            <w:sz w:val="20"/>
            <w:szCs w:val="20"/>
          </w:rPr>
          <w:fldChar w:fldCharType="separate"/>
        </w:r>
        <w:r w:rsidRPr="000F2295">
          <w:rPr>
            <w:rStyle w:val="Nmerodepgina"/>
            <w:noProof/>
            <w:sz w:val="20"/>
            <w:szCs w:val="20"/>
          </w:rPr>
          <w:t>144</w:t>
        </w:r>
        <w:r w:rsidRPr="000F2295">
          <w:rPr>
            <w:rStyle w:val="Nmerodepgina"/>
            <w:sz w:val="20"/>
            <w:szCs w:val="20"/>
          </w:rPr>
          <w:fldChar w:fldCharType="end"/>
        </w:r>
      </w:p>
    </w:sdtContent>
  </w:sdt>
  <w:p w:rsidR="000F2295" w:rsidRPr="000F2295" w:rsidRDefault="000F2295" w:rsidP="000F2295">
    <w:pPr>
      <w:pStyle w:val="Normal1"/>
      <w:pBdr>
        <w:bottom w:val="single" w:sz="12" w:space="1" w:color="auto"/>
      </w:pBdr>
      <w:spacing w:line="240" w:lineRule="auto"/>
      <w:ind w:right="360"/>
      <w:rPr>
        <w:lang w:val="en-US"/>
      </w:rPr>
    </w:pPr>
    <w:r>
      <w:rPr>
        <w:lang w:val="en-US"/>
      </w:rPr>
      <w:t xml:space="preserve">Oliveira </w:t>
    </w:r>
    <w:r w:rsidRPr="000F2295">
      <w:rPr>
        <w:i/>
        <w:iCs/>
        <w:lang w:val="en-US"/>
      </w:rPr>
      <w:t>et al</w:t>
    </w:r>
    <w:r w:rsidR="00964D54">
      <w:rPr>
        <w:i/>
        <w:iCs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F5"/>
    <w:rsid w:val="00017222"/>
    <w:rsid w:val="0005419F"/>
    <w:rsid w:val="000F2295"/>
    <w:rsid w:val="00110EBB"/>
    <w:rsid w:val="00143BF6"/>
    <w:rsid w:val="002369E0"/>
    <w:rsid w:val="00261F75"/>
    <w:rsid w:val="002C37F5"/>
    <w:rsid w:val="0030306C"/>
    <w:rsid w:val="00462D3F"/>
    <w:rsid w:val="005457D3"/>
    <w:rsid w:val="00650187"/>
    <w:rsid w:val="00727F18"/>
    <w:rsid w:val="008450BB"/>
    <w:rsid w:val="0089086E"/>
    <w:rsid w:val="00964D54"/>
    <w:rsid w:val="00A27030"/>
    <w:rsid w:val="00AC4262"/>
    <w:rsid w:val="00CA6950"/>
    <w:rsid w:val="00FC0672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E974"/>
  <w15:docId w15:val="{1425C918-6437-3E4E-9DEF-4010674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19F"/>
  </w:style>
  <w:style w:type="paragraph" w:styleId="Ttulo1">
    <w:name w:val="heading 1"/>
    <w:basedOn w:val="Normal1"/>
    <w:next w:val="Normal1"/>
    <w:rsid w:val="002C37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2C37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2C37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C37F5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1"/>
    <w:next w:val="Normal1"/>
    <w:rsid w:val="002C37F5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rsid w:val="002C37F5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C37F5"/>
  </w:style>
  <w:style w:type="table" w:customStyle="1" w:styleId="TableNormal">
    <w:name w:val="Table Normal"/>
    <w:rsid w:val="002C37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C37F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2C37F5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F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295"/>
  </w:style>
  <w:style w:type="paragraph" w:styleId="Rodap">
    <w:name w:val="footer"/>
    <w:basedOn w:val="Normal"/>
    <w:link w:val="RodapChar"/>
    <w:uiPriority w:val="99"/>
    <w:unhideWhenUsed/>
    <w:rsid w:val="000F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295"/>
  </w:style>
  <w:style w:type="character" w:styleId="Nmerodepgina">
    <w:name w:val="page number"/>
    <w:basedOn w:val="Fontepargpadro"/>
    <w:uiPriority w:val="99"/>
    <w:semiHidden/>
    <w:unhideWhenUsed/>
    <w:rsid w:val="000F2295"/>
  </w:style>
  <w:style w:type="paragraph" w:styleId="NormalWeb">
    <w:name w:val="Normal (Web)"/>
    <w:basedOn w:val="Normal"/>
    <w:uiPriority w:val="99"/>
    <w:rsid w:val="000F2295"/>
    <w:pPr>
      <w:spacing w:before="100" w:beforeAutospacing="1" w:after="100" w:afterAutospacing="1" w:line="240" w:lineRule="auto"/>
      <w:jc w:val="left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1728</Words>
  <Characters>8779</Characters>
  <Application>Microsoft Office Word</Application>
  <DocSecurity>0</DocSecurity>
  <Lines>159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de Lima Passos Rezende</dc:creator>
  <cp:lastModifiedBy>Cintia Garabini Lages</cp:lastModifiedBy>
  <cp:revision>4</cp:revision>
  <dcterms:created xsi:type="dcterms:W3CDTF">2019-12-12T20:38:00Z</dcterms:created>
  <dcterms:modified xsi:type="dcterms:W3CDTF">2019-12-13T18:40:00Z</dcterms:modified>
</cp:coreProperties>
</file>